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AHLAK VE İYİ NİYET KURALLARINA UYMAYAN HALLER VE BENZERLERİ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(Olayın gerçekleştiği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Unvanı, Kurumu)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Unvanı, Kurumu)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Kişi/Kişiler: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Unvanı, Kurumu)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(Ahlak ve iyi niyet kurallarına aykırı davranışın tanımı)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(Ahlak ve iyi niyet kurallarına aykırı davranışın ayrıntılı açıklaması, ne zaman, nerede ve nasıl gerçekleştiği bilgileri dahil)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 Listesi: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 ise olaya ilişkin delillerin listesi (video kaydı, fotoğraf, belge vb.))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(Olayla ilgili olarak yapılan incelemeler, görüşmeler, uyarılar vb. işlemler ayrıntılı olarak yazılır.)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idari veya hukuki işlem başlatılması kararı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Kişi/Kişiler: (İmzadan imtina ederse belirtilir)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idari veya hukuki süreçlerde delil olarak kullanılabilecektir.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6098 sayılı Türk Borçlar Kanunu'nun 4. maddesi (Ahlak ve iyi niyet kuralları)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kurumun iç yönetmeliği veya etik kuralları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Ahlak ve iyi niyet kurallarına aykırı davranışlar, hakaret, tehdit, taciz, ayrımcılık, yanıltıcı bilgi verme, çıkar çatışması gibi durumları içerebilir.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tür davranışlarla karşılaşan kişiler, olayın yaşandığı kuruma şikayette bulunabilir veya hukuki yollara başvurabilirler.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