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AİDAT BORCU YOKTUR YAZISI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[Site/Apartman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[Site/Apartman Yönetimi]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[Kat Maliki/Kiracı Adı Soyadı]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[Daire No]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kat malikinin/kiracıya ait </w:t>
      </w:r>
      <w:r w:rsidDel="00000000" w:rsidR="00000000" w:rsidRPr="00000000">
        <w:rPr>
          <w:b w:val="1"/>
          <w:color w:val="1f1f1f"/>
          <w:rtl w:val="0"/>
        </w:rPr>
        <w:t xml:space="preserve">[Tarih]</w:t>
      </w:r>
      <w:r w:rsidDel="00000000" w:rsidR="00000000" w:rsidRPr="00000000">
        <w:rPr>
          <w:color w:val="1f1f1f"/>
          <w:rtl w:val="0"/>
        </w:rPr>
        <w:t xml:space="preserve"> tarihi itibariyle site/apartman yönetimine herhangi bir aidat borcu bulunmamaktadır.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[Yönetici Adı Soyadı]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[Yönetici İmzası]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[Site/Apartman Mührü]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site/apartman yönetimi tarafından düzenlenir ve kat maliki/kiracı tarafından istendiğinde verilir.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Genellikle taşınma, satış veya resmi işlemler için talep edilir.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Belgenin geçerlilik süresi, site/apartman yönetimi tarafından belirlenir.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