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Akaryakıt protokolü, genellikle bir akaryakıt dağıtım şirketi ile bir bayi veya tüketici arasında yapılan, akaryakıt alım-satımına ilişkin şartları belirleyen bir sözleşmedir. Bu protokolde, ürünün cinsi, miktarı, fiyatı, teslim şekli, ödeme koşulları gibi hususlar yer alır.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Akaryakıt Alım-Satım Protokolü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(Dağıtım Şirketi Ünvanı):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(Bayi/Tüketici Ünvanı):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(Dağıtım Şirketi Ünvanı) tarafından (Bayi/Tüketici Ünvanı)'na satılacak akaryakıt ürünlerinin alım-satımına ilişkin şartları düzenlemektedir.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ÜRÜN VE MİKTAR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Ürün:</w:t>
      </w:r>
      <w:r w:rsidDel="00000000" w:rsidR="00000000" w:rsidRPr="00000000">
        <w:rPr>
          <w:color w:val="1f1f1f"/>
          <w:rtl w:val="0"/>
        </w:rPr>
        <w:t xml:space="preserve"> (Akaryakıt Türü)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Miktar:</w:t>
      </w:r>
      <w:r w:rsidDel="00000000" w:rsidR="00000000" w:rsidRPr="00000000">
        <w:rPr>
          <w:color w:val="1f1f1f"/>
          <w:rtl w:val="0"/>
        </w:rPr>
        <w:t xml:space="preserve"> (Miktar) litre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FİYAT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Akaryakıt ürününün litre fiyatı, (Fiyat) TL'dir. Fiyat, (Fiyat Belirleme Şekli) (örneğin, EPDK tarafından belirlenen fiyat tarifesi) esas alınarak belirlenecektir.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TESLİM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Akaryakıt ürünleri, (Teslim Yeri) adresinde, (Teslim Şekli) ile teslim edilecektir. Teslimat masrafları (Teslim Masraflarını Karşılayan Taraf) tarafından karşılanacaktır.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ÖDEME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Ödeme, (Ödeme Şekli) ile, (Ödeme Tarihi) tarihinde yapılacaktır. Ödeme geciktiği takdirde, (Gecikme Faizi Oranı) oranında gecikme faizi uygulanacaktır.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SÜRE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(Başlangıç Tarihi) tarihinde yürürlüğe girecek ve (Bitiş Tarihi) tarihinde sona erecektir.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FESİH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protokolü, (Fesih Şartları) hallerinde feshedebileceklerdir.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uyuşmazlıkların çözümünde (İl/İlçe) Mahkemeleri ve İcra Daireleri yetkilidir.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(Dağıtım Şirketi 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(Bayi/Tüketici Ünvanı)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akaryakıt alım-satım protokolüdür. Tarafların ihtiyaçlarına ve özel durumlarına göre protokolde değişiklikler yapılabilir. 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