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İŞE ALKOLLÜ GELME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(İlgili şirketin tutanak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Unvanı)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Yeri:</w:t>
      </w:r>
      <w:r w:rsidDel="00000000" w:rsidR="00000000" w:rsidRPr="00000000">
        <w:rPr>
          <w:color w:val="1f1f1f"/>
          <w:rtl w:val="0"/>
        </w:rPr>
        <w:t xml:space="preserve"> (Şirketin tam adresi)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Unvanı)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Unvanı)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İhlale Konu Çalışan: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T.C. Kimlik No, Görevi)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İhlalin Konusu:</w:t>
      </w:r>
      <w:r w:rsidDel="00000000" w:rsidR="00000000" w:rsidRPr="00000000">
        <w:rPr>
          <w:color w:val="1f1f1f"/>
          <w:rtl w:val="0"/>
        </w:rPr>
        <w:t xml:space="preserve"> İşe alkollü gelmek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(Çalışanın alkollü olduğu nasıl tespit edildi, ne gibi belirtiler gösterdiği, davranışları, olay anında yaşananlar ayrıntılı olarak açıklanır.)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Beyanları: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(Varsa tanıkların ifadeleri ayrıntılı olarak kaydedilir.)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İşlemler: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(Çalışana alkol testi yapılıp yapılmadığı belirtilir.)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(Çalışanın savunması alındıysa özetlenir.)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(Çalışana verilen uyarılar ve alınan disiplin cezaları belirtilir.)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(Tutanakta yer alan bilgilere göre ulaşılan sonuç ve alınacak tedbirler belirtilir. Örneğin, iş akdinin feshi, disiplin soruşturması başlatılması gibi.)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İhlale Konu Çalışan: (İmzadan imtina ederse belirtilir)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olayın özelliklerine göre uyarlanabilir.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doğru, eksiksiz ve anlaşılır olması önemlidir.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işverenin işçiye karşı haklı fesih nedeni olarak kullanabileceği bir belgedir.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DAYANAK: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4857 Sayılı İş Kanunu'nun 25/II-e maddesi (Ahlak ve iyi niyet kurallarına uymayan haller)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alkollü gelmek, işverenin işçiyi haklı nedenle derhal fesih hakkını doğuran bir durumdur.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alkollü olduğu tespit edilen işçiye karşı disiplin soruşturması açabilir ve iş akdini feshedebilir.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alkollü olduğu iddiasına karşı savunma hakkını kullanabilir.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