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[Apartman/Site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[Apartman/Site Yönetimi]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Kat Malikleri/Sakinleri,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Bildiğiniz üzere, apartmanımızın/sitemizin ortak giderleri (elektrik, su, doğalgaz, asansör bakımı, temizlik, güvenlik vb.) sürekli artmaktadır. Bu artışlar, enflasyon, asgari ücret zamları ve diğer ekonomik faktörlerden kaynaklanmaktadır.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Mevcut aidat tutarları ile apartmanımızın/sitemizin giderlerini karşılamakta zorlanmaktayız. Bu nedenle, yönetim kurulu olarak, </w:t>
      </w:r>
      <w:r w:rsidDel="00000000" w:rsidR="00000000" w:rsidRPr="00000000">
        <w:rPr>
          <w:b w:val="1"/>
          <w:color w:val="1f1f1f"/>
          <w:rtl w:val="0"/>
        </w:rPr>
        <w:t xml:space="preserve">[Yeni Aidat Miktarı]</w:t>
      </w:r>
      <w:r w:rsidDel="00000000" w:rsidR="00000000" w:rsidRPr="00000000">
        <w:rPr>
          <w:color w:val="1f1f1f"/>
          <w:rtl w:val="0"/>
        </w:rPr>
        <w:t xml:space="preserve"> TL olarak belirlenen yeni aidat tutarlarının </w:t>
      </w:r>
      <w:r w:rsidDel="00000000" w:rsidR="00000000" w:rsidRPr="00000000">
        <w:rPr>
          <w:b w:val="1"/>
          <w:color w:val="1f1f1f"/>
          <w:rtl w:val="0"/>
        </w:rPr>
        <w:t xml:space="preserve">[Başlangıç Tarihi]</w:t>
      </w:r>
      <w:r w:rsidDel="00000000" w:rsidR="00000000" w:rsidRPr="00000000">
        <w:rPr>
          <w:color w:val="1f1f1f"/>
          <w:rtl w:val="0"/>
        </w:rPr>
        <w:t xml:space="preserve"> tarihinden itibaren geçerli olacağını bildirmek isteriz.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karar, apartmanımızın/sitemizin ihtiyaçlarını karşılamak ve daha iyi hizmet sunabilmek amacıyla alınmıştır. Anlayışınız için teşekkür ederiz.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[Yönetici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[Yönetici İmzası]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yazı sadece bir örnektir. Kendi apartmanınızın/sitenizin durumuna göre uyarlayabilirsiniz.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aidat tutarının belirlenmesinde, apartman/site yönetim kurulu karar alır ve kat maliklerine duyurur.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Aidat artış oranı, Kat Mülkiyeti Kanunu ve ilgili yönetmeliklere uygun olmalıdır.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Aidat artışı konusunda kat malikleri arasında anlaşmazlık çıkması durumunda, sulh hukuk mahkemesine başvurulabilir.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