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Arsa muvafakatnamesi, arsanın hissedarlarından birinin, diğer hissedarlara veya üçüncü bir kişiye, arsa üzerinde belirli bir süre için belirli bir amaçla kullanım hakkı tanıdığına dair yazılı bir belgedir. Arsa muvafakatnamesi, arsanın kullanım amacına ve hissedarlar arasındaki anlaşmaya göre farklılık gösterebilir. Ancak genel olarak aşağıdaki bilgileri içermelidir: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ARSA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Arsa Bilgileri:</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İl:</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İlçe:</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Mahalle/Köy:</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Ada:</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Parsel:</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Hissedar Bilgileri:</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Verilen Kişi/Kurum Bilgileri:</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No/Vergi No:</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Konusu:</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Arsanın kullanım amacı (örneğin, tarımsal faaliyet, yapı inşaatı, vb.):</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Kullanım süresi:</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koşullar (örneğin, kira bedeli, bakım masrafları, vb.):</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Beyan ve Kabul:</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arsa üzerinde hissedar olarak, muvafakat verilen kişi/kuruma, belirtilen süre ve koşullar dahilinde, belirtilen amaçla arsayı kullanma hakkı verdiğimi beyan ve kabul ederim.</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Hissedar İmza: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Muvafakat Verilen Kişi/Kurum 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noter tasdikli olması durumunda hukuki geçerliliği daha güçlü olacaktır.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belirtilen koşulların açık ve net olması, olası anlaşmazlıkların önüne geçecektir.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Arsa üzerinde yapılacak işlemlere göre ek izinler ve belgeler gerekebilir (örneğin, yapı ruhsatı, çevre izni, vb.).</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Muvafakatname: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0b57d0"/>
          <w:u w:val="single"/>
        </w:rPr>
      </w:pPr>
      <w:r w:rsidDel="00000000" w:rsidR="00000000" w:rsidRPr="00000000">
        <w:rPr>
          <w:b w:val="1"/>
          <w:color w:val="1f1f1f"/>
          <w:rtl w:val="0"/>
        </w:rPr>
        <w:t xml:space="preserve">Tarım ve Orman Bakanlığı Muvafakatname Örneği:</w:t>
      </w:r>
      <w:r w:rsidDel="00000000" w:rsidR="00000000" w:rsidRPr="00000000">
        <w:rPr>
          <w:color w:val="1f1f1f"/>
          <w:rtl w:val="0"/>
        </w:rPr>
        <w:t xml:space="preserve"> </w:t>
      </w:r>
      <w:hyperlink r:id="rId6">
        <w:r w:rsidDel="00000000" w:rsidR="00000000" w:rsidRPr="00000000">
          <w:rPr>
            <w:color w:val="0b57d0"/>
            <w:u w:val="single"/>
            <w:rtl w:val="0"/>
          </w:rPr>
          <w:t xml:space="preserve">https://tekirdag.tarimorman.gov.tr/Lists/BirimSayfalari/Attachments/90/Muvafakatname.pdf</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ekirdag.tarimorman.gov.tr/Lists/BirimSayfalari/Attachments/90/Muvafakatna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