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1136 SAYILI AVUKATLIK KANUNU'NUN 35/A MADDESİ UYARINCA DÜZENLENEN UZLAŞMA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(Müvekkil 1 Adı Soyadı):</w:t>
      </w:r>
      <w:r w:rsidDel="00000000" w:rsidR="00000000" w:rsidRPr="00000000">
        <w:rPr>
          <w:color w:val="1f1f1f"/>
          <w:rtl w:val="0"/>
        </w:rPr>
        <w:t xml:space="preserve"> (T.C. Kimlik No), (Adres) </w:t>
      </w: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(Avukat 1 Adı Soyadı), (Baro Sicil No)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(Müvekkil 2 Adı Soyadı):</w:t>
      </w:r>
      <w:r w:rsidDel="00000000" w:rsidR="00000000" w:rsidRPr="00000000">
        <w:rPr>
          <w:color w:val="1f1f1f"/>
          <w:rtl w:val="0"/>
        </w:rPr>
        <w:t xml:space="preserve"> (T.C. Kimlik No), (Adres) </w:t>
      </w: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(Avukat 2 Adı Soyadı), (Baro Sicil No)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UZLAŞMANIN KONUSU: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 arasındaki uyuşmazlığın kısa ve öz bir şekilde açıklanması)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UZLAŞMANIN ÖZÜ: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(Tarafların uzlaşmaya vardığı hususlar maddeler halinde açık ve net bir şekilde belirtilir. Örneğin: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arasındaki alacak verecek ilişkisi ne şekilde çözülecek?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Hangi taraf ne kadar ödeme yapacak ve ne zaman yapacak?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birbirlerinden feragat ettiği haklar nelerdir?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Davaya ilişkin yargılama giderleri kime ait olacak?)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HUSUSLAR: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takdirde, uzlaşmanın icrası, feshi, tebliğ gibi konulara ilişkin hükümler eklenebilir.)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 belirtilen hususlarda tamamen anlaşmış olup, işbu uzlaşma tutanağı 1136 sayılı Avukatlık Kanunu'nun 35/A maddesi uyarınca düzenlenmiştir. Taraflar ve vekilleri bu tutanağın içeriğini anlamış ve kabul etmişlerdir.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(Tarih)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(Müvekkil 1 Adı Soyadı ve İmza)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(Müvekkil 2 Adı Soyadı ve İmza)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(Avukat 1 Adı Soyadı ve İmza)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(Avukat 2 Adı Soyadı ve İmza)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uzlaşma tutanağıdır. Her olayın kendine özgü koşulları olduğu için, uzlaşma tutanağının içeriği tarafların anlaşmasına göre değişiklik gösterebilir.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 tutanağı, tarafların ve vekillerinin imzasını taşımalıdır.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 tutanağı, icra edilebilirlik şerhi alınmak suretiyle ilam hükmünde belgeye dönüştürülebilir.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Avukatlık Kanunu'nun 35/A maddesi uyarınca yapılan uzlaşma, tarafların avukatları aracılığıyla gerçekleştirilir. Bu nedenle, uzlaşma sürecinde bir avukattan hukuki destek almanız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