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... AİLE MAHKEMESİ HÂKİMLİĞİ'NE</w:t>
      </w:r>
    </w:p>
    <w:p/>
    <w:p>
      <w:pPr>
        <w:jc w:val="center"/>
      </w:pPr>
      <w:r>
        <w:t>Velayet Davası Dilekçesi</w:t>
      </w:r>
    </w:p>
    <w:p/>
    <w:p>
      <w:r>
        <w:t>Davacı           : ........................................ (T.C. Kimlik No: ..........)</w:t>
      </w:r>
    </w:p>
    <w:p>
      <w:r>
        <w:t>Adres            : ..............................................................</w:t>
      </w:r>
    </w:p>
    <w:p/>
    <w:p>
      <w:r>
        <w:t>Davalı           : ........................................ (T.C. Kimlik No: ..........)</w:t>
      </w:r>
    </w:p>
    <w:p>
      <w:r>
        <w:t>Adres            : ..............................................................</w:t>
      </w:r>
    </w:p>
    <w:p/>
    <w:p>
      <w:r>
        <w:t>Çocuk(lar)       : 1) Adı Soyadı, Doğum T.: .............</w:t>
      </w:r>
    </w:p>
    <w:p>
      <w:r>
        <w:t xml:space="preserve">                  2) .................................... (varsa)</w:t>
      </w:r>
    </w:p>
    <w:p/>
    <w:p>
      <w:r>
        <w:t>Konu             : 4721 sayılı Türk Medeni Kanunu’nun 336 ve 337. maddeleri uyarınca çocuk/çocukların velayetinin davacıya verilmesi talebidir.</w:t>
      </w:r>
    </w:p>
    <w:p/>
    <w:p>
      <w:pPr>
        <w:jc w:val="center"/>
      </w:pPr>
      <w:r>
        <w:t>AÇIKLAMALAR</w:t>
      </w:r>
    </w:p>
    <w:p/>
    <w:p>
      <w:r>
        <w:t>1) Davacı ile davalı .../.../... tarihinde evlenmiş, .../.../... tarihinde boşanma kararı kesinleşmiştir / ayrı yaşamaktadır.</w:t>
      </w:r>
    </w:p>
    <w:p>
      <w:r>
        <w:t>2) Ortak çocuk/çocukların fiilî bakımı hâlen davalı/davacı yanında olup mevcut koşullar çocukların üstün yararı açısından elverişsizdir.</w:t>
      </w:r>
    </w:p>
    <w:p>
      <w:r>
        <w:t>3) Davacı; maddî, manevi ve sosyal koşullar bakımından çocukların eğitim, sağlık ve bakım ihtiyaçlarını karşılayabilecek durumdadır.</w:t>
      </w:r>
    </w:p>
    <w:p>
      <w:r>
        <w:t>4) Davalının ekonomîk durumu/kişisel yaşamı çocukların sağlıklı gelişimine engel teşkil etmektedir (örn. düzensiz gelir, bağımlılık, uzak mesafe vb.).</w:t>
      </w:r>
    </w:p>
    <w:p/>
    <w:p>
      <w:r>
        <w:t>HUKUKÎ NEDENLER: TMK m. 336‑337, 6100 sayılı HMK ve ilgili sair mevzuat.</w:t>
      </w:r>
    </w:p>
    <w:p>
      <w:r>
        <w:t>DELİLLER       : Nüfus kayıtları, sosyal inceleme raporu, tanık beyanları, okul/sağlık belgeleri, fotoğraf-videolar, her türlü yasal delil.</w:t>
      </w:r>
    </w:p>
    <w:p/>
    <w:p>
      <w:pPr>
        <w:jc w:val="center"/>
      </w:pPr>
      <w:r>
        <w:t>SONUÇ ve TALEP</w:t>
      </w:r>
    </w:p>
    <w:p/>
    <w:p>
      <w:r>
        <w:t>Açıklanan nedenlerle; ortak çocuk/çocukların velayetinin davacıya verilmesine, davalı lehine kişisel ilişki gün ve saatlerinin belirlenmesine, yargılama giderleri ve harçların davalıya yükletilmesine karar verilmesini saygıyla arz ederim.</w:t>
      </w:r>
    </w:p>
    <w:p/>
    <w:p>
      <w:r>
        <w:t>..............., .... / .... / 20....</w:t>
      </w:r>
    </w:p>
    <w:p/>
    <w:p>
      <w:r>
        <w:t>Davacı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Nüfus Kayıt Örneği</w:t>
      </w:r>
    </w:p>
    <w:p>
      <w:r>
        <w:t>2) Boşanma Kararı (varsa)</w:t>
      </w:r>
    </w:p>
    <w:p>
      <w:r>
        <w:t>3) Gelir Belgeleri / Kira Kontratı</w:t>
      </w:r>
    </w:p>
    <w:p>
      <w:r>
        <w:t>4) Tanık Listesi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