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ÖDEME VE BANKA PROMOSYON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 Adı):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(Banka Adı):</w:t>
      </w:r>
      <w:r w:rsidDel="00000000" w:rsidR="00000000" w:rsidRPr="00000000">
        <w:rPr>
          <w:color w:val="1f1f1f"/>
          <w:rtl w:val="0"/>
        </w:rPr>
        <w:t xml:space="preserve"> (Şube Adı ve Kodu),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(Kurum Adı)'nın çalışanlarının maaş ve diğer ödemelerinin (Banka Adı) tarafından yapılması ve bu hizmet karşılığında (Banka Adı)'nın (Kurum Adı)'na ve çalışanlarına promosyon ödemesi yapması koşullarını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KAPSAM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(Kurum Adı)'nın tüm kadrolu ve sözleşmeli personelini kapsar.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SÜRE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(Başlangıç Tarihi) tarihinde başlar ve (Bitiş Tarihi) tarihinde sona erer.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HİZMETLER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(Banka Adı), (Kurum Adı) çalışanlarının maaş, ikramiye, prim gibi tüm ödemelerini yapacaktır.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(Banka Adı), (Kurum Adı) çalışanlarına kredi, kredi kartı, hesap işletim ücreti muafiyeti gibi çeşitli bankacılık hizmetleri sunacaktır.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PROMOSYON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(Banka Adı), (Kurum Adı)'na toplam (Promosyon Tutarı) TL promosyon ödemesi yapacaktır.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(Banka Adı), (Kurum Adı) çalışanlarına kişi başı (Promosyon Tutarı) TL promosyon ödemesi yapacaktır.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Promosyon ödemeleri, (Ödeme Tarihi) tarihinde yapılacaktır.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DİĞER HÜKÜMLER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(Banka Adı), (Kurum Adı)'na sunduğu bankacılık hizmetlerinde herhangi bir değişiklik yapması durumunda, (Kurum Adı)'nı önceden yazılı olarak bilgilendirecektir.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yer alan hususlara uymakla yükümlüdür.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 yer almayan hususlarda, 6098 sayılı Türk Borçlar Kanunu ve ilgili mevzuat hükümleri uygulanacaktır.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(Kurum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(Banka Adı)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banka promosyon protokolüdür. Tarafların ihtiyaçlarına ve özel durumlarına göre protokolde değişiklikler yapılabilir. 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