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BAYİ: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[Bayinin Unvanı] [Bayinin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BAYİLİK VEREN:</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[Bayilik Verenin Unvanı] [Bayilik Verenin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BAYİLİK SÖZLEŞMESİ: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[Bayilik Sözleşmesi Tarihi] [Bayilik Sözleşmesi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Bayilik Sözleşmesinin Feshi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[Bayinin Unvanı],</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bayilik sözleşmesi kapsamında tarafınıza verilen bayilik hakkı ile ilgili olarak, sözleşmenin [Sözleşmeye Aykırı Davranışın Belirtildiği Madde] maddesinde belirtilen [Sözleşmeye Aykırı Davranış] hususuna aykırı davrandığınız tespit edilmiştir.</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aykırılıklar aşağıda belirtilmiştir:</w:t>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[Aykırılık 1] (Örn: Satış hedeflerine ulaşmama)</w:t>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[Aykırılık 2] (Örn: Marka imajına zarar verme)</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[Aykırılık 3] (Örn: Rekabet yasağını ihlal etme) ... (gerekirse devam eder)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İşbu ihtarname ile, bayilik sözleşmesinin [Sözleşmenin Fesih Maddesi] maddesi gereğince, sözleşmeye aykırı davranışlarınızı [Süre (genellikle 30 gün)] gün içerisinde düzeltmeniz aksi takdirde bayilik sözleşmesinin feshedileceği hususunu bildiririz.</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Sözleşmenin feshi halinde, sözleşmedeki fesih hükümlerinin uygulanacağını ve tarafınıza verilen bayilik hakkının sona ereceğini hatırlatırız. Ayrıca, sözleşmeye aykırı davranışlarınız nedeniyle tarafımıza verdiğiniz zararların tazmin edilmesi için de yasal yollara başvuracağımızı bildiririz.</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rica ederiz.</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[Bayilik Verenin Unvanı] [Bayilik Veren Yetkilisinin Adı Soyadı ve İmzası]</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bir örnek ihtarname olup, hukuki danışmanlık yerine geçmez. Bayilik sözleşmenizin özel şartlarına ve güncel mevzuata göre düzenlenmesi gerekmektedir.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