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BORÇ ÖDEME PROTOKOLÜ</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ALACAKLI:</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BORÇLU:</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 – KONU</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 BORÇLU'nun ALACAKLI'ya olan (Borç Miktarı) TL tutarındaki borcunun ödeme koşullarını düzenlemektedir.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BORÇ MİKTARI VE ÖDEME PLANI</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Toplam Borç Miktarı: (Borç Miktarı) TL</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Ödeme Planı:</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(Taksit Sayısı) eşit taksitte ödeme yapılacaktır.</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Her taksit tutarı (Taksit Tutarı) TL'dir.</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İlk taksit ödemesi (İlk Taksit Tarihi) tarihinde yapılacaktır.</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Sonraki taksitler, her ayın (Taksit Günü) tarihinde ödenecektir.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3 – ÖDEME ŞEKLİ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Ödemeler, (Ödeme Şekli) (Örneğin: banka havalesi, EFT, elden teslim) ile yapılacaktır.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GECİKME FAİZİ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Taksitlerden herhangi birinin ödeme tarihinde veya daha sonra ödenmemesi halinde, ödenmeyen tutar üzerinden aylık (Gecikme Faizi Oranı) oranında gecikme faizi uygulanacaktır.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TEMERRÜT HALİ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Borçlu, taksitlerden herhangi birini ödeme tarihinde veya daha sonra ödemezse veya işbu protokolde yer alan diğer yükümlülüklerini yerine getirmezse, alacaklı tüm borcun muaccel hale geldiğini talep etme ve yasal yollara başvurma hakkına sahiptir.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UYUŞMAZLIKLARIN ÇÖZÜMÜ</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protokolden doğan her türlü uyuşmazlık (İl/İlçe) Mahkemeleri ve İcra Daireleri'nde çözümlenecektir.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YÜRÜRLÜK</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 (Tarih) tarihinde, taraflarca iki nüsha olarak imzalanmış ve yürürlüğe girmiştir.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ALACAKLI</w:t>
      </w:r>
      <w:r w:rsidDel="00000000" w:rsidR="00000000" w:rsidRPr="00000000">
        <w:rPr>
          <w:color w:val="1f1f1f"/>
          <w:rtl w:val="0"/>
        </w:rPr>
        <w:t xml:space="preserve"> </w:t>
      </w:r>
      <w:r w:rsidDel="00000000" w:rsidR="00000000" w:rsidRPr="00000000">
        <w:rPr>
          <w:b w:val="1"/>
          <w:color w:val="1f1f1f"/>
          <w:rtl w:val="0"/>
        </w:rPr>
        <w:t xml:space="preserve">BORÇLU</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 (Adı Soyadı/Ünvanı)</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(T.C. Kimlik No/Vergi No) (T.C. Kimlik No/Vergi No)</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borç ödeme protokolüdür. Tarafların ihtiyaçlarına ve özel durumlarına göre protokolde değişiklikler yapılabilir.</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sorunla karşılaşmamak için bir avukattan yardım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