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 TAAHHÜT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borçlu tarafından alacaklıya olan [Borç Miktarı] Türk Lirası tutarındaki borcun ödeme koşullarının belirlenmesidir.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MİKTARI VE ÖDEME KOŞULLARI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Borçlu, alacaklıya olan [Borç Miktarı] Türk Lirası tutarındaki borcunu, [Ödeme Tarihi] tarihinde, [Ödeme Yeri]’nde, [Ödeme Şekli] ile ödemeyi kabul ve taahhüt eder.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Borçlu, borcunu belirtilen tarihte ödeyememesi durumunda, her gecikilen gün için [Gecikme Faizi Oranı] oranında gecikme faizi ödemeyi kabul ve taahhüt eder.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borcun ödenmemesi durumunda, alacaklının yasal yollara başvurma hakkının saklı olduğunu kabul ve beyan ederler.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tarafların karşılıklı anlaşması ile [Sözleşme Tarihi] tarihinde düzenlenmiştir.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taraflarca imzalandığı anda yürürlüğe girer.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[Yetkili Mahkeme ve İcra Daireleri] yetkilidir.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ALACAKLI BORÇLU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 taahhüt sözleşmesidir. Kendi durumunuza göre uyarlayabilirsiniz.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geçerli olması için tarafların imzalaması gerekmektedir.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miktarı, ödeme tarihi, ödeme yeri, ödeme şekli, gecikme faizi oranı, yetkili mahkeme ve icra daireleri net bir şekilde belirtilmelidir.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Borç taahhüt sözleşmesi, hukuki sonuçları olan bir belgedir. Bu nedenle, sözleşmenin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