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CARİ HESAP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(Alacaklı Firma/Kişi):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Dairesi/T.C. Kimlik No: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(Borçlu Firma/Kişi):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Dairesi/T.C. Kimlik No: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Cari Hesap Bilgileri: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Hesap Başlangıç Tarihi: .../.../......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Hesap Bitiş Tarihi: .../.../......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Hesap Bakiyesi: (Rakam ve yazı ile)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yukarıda belirtilen tarihler arasındaki cari hesap ilişkisi kapsamında doğan tüm alacak ve borçlarını karşılıklı olarak kabul etmişlerdir. Cari hesabın .../.../...... tarihi itibarıyla oluşan ... TL (yazı ile: ……….. Türk Lirası) bakiyesi, (Alacaklı/Borçlu) tarafından (Borçlu/Alacaklı)'ya ödenmiştir.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birbirlerini cari hesap ilişkisinden doğan tüm hak ve taleplerinden ibra ettiklerini beyan ederler. Bu ibraname ile taraflar arasında cari hesaba ilişkin herhangi bir alacak veya borç kalmamıştır.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faiz, masraf, temerrüt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 Firma/Kişi: Borçlu Firma/Kişi: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hesap ibranamesi, tarafların karşılıklı rızasıyla ve kendi özgür iradeleriyle imzalamaları halinde geçerlidir.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içeriği, tarafların anlaştığı hususlara göre değişebilir.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tasdiki ile daha güçlü bir hukuki belge haline gelir.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Cari hesap ibranamesi, tarafların arasındaki cari hesaptan doğan tüm alacak ve borçları sona erdirir.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Cari hesap ibranamesi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