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CARİ HESAP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(Şirket Ünvanı):</w:t>
      </w:r>
      <w:r w:rsidDel="00000000" w:rsidR="00000000" w:rsidRPr="00000000">
        <w:rPr>
          <w:color w:val="1f1f1f"/>
          <w:rtl w:val="0"/>
        </w:rPr>
        <w:t xml:space="preserve"> (Vergi Dairesi ve Numarası), (Adres) </w:t>
      </w:r>
      <w:r w:rsidDel="00000000" w:rsidR="00000000" w:rsidRPr="00000000">
        <w:rPr>
          <w:b w:val="1"/>
          <w:color w:val="1f1f1f"/>
          <w:rtl w:val="0"/>
        </w:rPr>
        <w:t xml:space="preserve">2. (Şirket/Kişi Ünvanı):</w:t>
      </w:r>
      <w:r w:rsidDel="00000000" w:rsidR="00000000" w:rsidRPr="00000000">
        <w:rPr>
          <w:color w:val="1f1f1f"/>
          <w:rtl w:val="0"/>
        </w:rPr>
        <w:t xml:space="preserve"> (Vergi Dairesi ve Numarası/TC Kimlik No), (Adres)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TARAFLAR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yukarıda belirtilen TARAFLAR arasında, Türk Ticaret Kanunu'nun 89. ve müteakip maddelerinde düzenlenen cari hesap münasebetlerini tesis etmek üzere yapılmıştır.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 arasında meydana gelecek mal ve hizmet alım satımları ile diğer tüm ticari işlemlerden kaynaklanan alacak ve borçların karşılıklı olarak hesaba geçirilmesi, takas edilmesi ve bakiyenin belirlenmesidir.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HESAP KESİM DÖNEMİ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Hesap kesim dönemi (ay/yıl) olarak belirlenmiştir. Hesap kesim dönemi sonunda, TARAFLAR karşılıklı alacak ve borçlarını mahsup ederek bakiyeyi tespit edeceklerdir.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FAİZ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Hesap kesim dönemi sonunda borçlu durumda olan TARAFin, bakiye borcu üzerinden aylık (Faiz Oranı) oranında faiz ödemesi gerekmektedir.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ÖDEME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Bakiye borcu olan TARAFin, hesap kesim dönemi sonundan itibaren (Ödeme Süresi) gün içinde borcunu ödemesi gerekmektedir.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TEMERRÜT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Borcun zamanında ödenmemesi halinde, alacaklı TARAFin, gecikme faizi talep etme ve yasal yollara başvurma hakkı saklıdır.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SÖZLEŞMENİN SONA ERMESİ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sona erer: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sözleşmeyi yazılı olarak feshetmesi.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iflas etmesi.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Kanunlarda belirtilen diğer haller.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doğan her türlü uyuşmazlık (İl/İlçe) Mahkemeleri ve İcra Daireleri'nde çözümlenecektir.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(Tarih) tarihinde, TARAFLARca iki nüsha olarak imzalanmış ve yürürlüğe girmiştir.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(Şirket 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(Şirket/Kişi Ünvanı)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cari hesap sözleşmesidir. Tarafların ihtiyaçlarına ve özel durumlarına göre sözleşmede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