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ÇATI YAPIM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Çatı Yapım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(MAL SAHİBİ):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(ÇATI USTASI/FİRMASI):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[Bina Adı ve Adresi] adresinde bulunan binanın ("Bina") çatısını, aşağıda belirtilen şartlar dahilinde yapmasını kapsar.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çatı yapım işlerini yapmayı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[Çatı Malzemesi ve Tipi] (Örn: Kiremit, metal, shingle, vb.) çatı kaplaması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[Çatı İzolasyonu] (Örn: Isı yalıtımı, su yalıtımı, ses yalıtımı)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[Çatı Drenaj Sistemi] (Oluk, iniş borusu, dere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[Çatı Pencereleri/Aydınlatmaları]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Özellikler] (Belirtilmesi gereken diğer işler)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 VE İŞÇİLİK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çatı yapımında kullanılacak tüm malzemelerin temininden ve işçilik hizmetlerinden sorumludur.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markası, modeli ve özellikleri aşağıda belirtilmiştir: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Listesi ve Özellikleri]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çatı yapım işlerini [Başlangıç Tarihi] tarihinde başlayıp [Bitiş Tarihi] tarihinde tamamlamayı taahhüt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taksitte [Taksit Tutarı] TL olarak ödenecektir.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getirmek.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(yapı kullanma izin belgesi vb.) İş Sahibi'ne teslim 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