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Çek tutanakları, genellikle iki farklı şekilde düzenlenir:</w:t>
      </w:r>
    </w:p>
    <w:p w:rsidR="00000000" w:rsidDel="00000000" w:rsidP="00000000" w:rsidRDefault="00000000" w:rsidRPr="00000000" w14:paraId="00000003">
      <w:pPr>
        <w:numPr>
          <w:ilvl w:val="0"/>
          <w:numId w:val="7"/>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Çek Teslim Tutanağı:</w:t>
      </w:r>
      <w:r w:rsidDel="00000000" w:rsidR="00000000" w:rsidRPr="00000000">
        <w:rPr>
          <w:color w:val="1f1f1f"/>
          <w:rtl w:val="0"/>
        </w:rPr>
        <w:t xml:space="preserve"> Bir çekin bir kişiden başka bir kişiye teslim edildiğini belgelemek için kullanılır. Bu tutanakta, çekin kim tarafından, kime, ne zaman, hangi amaçla ve ne kadarlık bir tutarla teslim edildiği bilgileri yer alır.</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Karşılıksız Çek Tutanağı:</w:t>
      </w:r>
      <w:r w:rsidDel="00000000" w:rsidR="00000000" w:rsidRPr="00000000">
        <w:rPr>
          <w:color w:val="1f1f1f"/>
          <w:rtl w:val="0"/>
        </w:rPr>
        <w:t xml:space="preserve"> Çekin bankaya ibraz edildiğinde karşılığının bulunmadığı durumlarda düzenlenir. Bu tutanakta, çekin bilgileri, karşılıksız çıkma nedeni ve çek hamili tarafından yapılacak işlemler belirtilir.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ÇEK TESLİM TUTANAĞI</w:t>
      </w:r>
      <w:r w:rsidDel="00000000" w:rsidR="00000000" w:rsidRPr="00000000">
        <w:rPr>
          <w:color w:val="1f1f1f"/>
          <w:rtl w:val="0"/>
        </w:rPr>
        <w:t xml:space="preserve"> (Örnek)</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Tarihi:</w:t>
      </w:r>
      <w:r w:rsidDel="00000000" w:rsidR="00000000" w:rsidRPr="00000000">
        <w:rPr>
          <w:color w:val="1f1f1f"/>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9">
      <w:pPr>
        <w:numPr>
          <w:ilvl w:val="0"/>
          <w:numId w:val="9"/>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Teslim Eden:</w:t>
      </w:r>
    </w:p>
    <w:p w:rsidR="00000000" w:rsidDel="00000000" w:rsidP="00000000" w:rsidRDefault="00000000" w:rsidRPr="00000000" w14:paraId="0000000A">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B">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0C">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w:t>
      </w:r>
    </w:p>
    <w:p w:rsidR="00000000" w:rsidDel="00000000" w:rsidP="00000000" w:rsidRDefault="00000000" w:rsidRPr="00000000" w14:paraId="0000000D">
      <w:pPr>
        <w:numPr>
          <w:ilvl w:val="1"/>
          <w:numId w:val="10"/>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Telefon:</w:t>
      </w:r>
    </w:p>
    <w:p w:rsidR="00000000" w:rsidDel="00000000" w:rsidP="00000000" w:rsidRDefault="00000000" w:rsidRPr="00000000" w14:paraId="0000000E">
      <w:pPr>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Teslim Alan:</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Çek Bilgileri: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 w:type="dxa"/>
        <w:jc w:val="left"/>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Çek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Banka 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Şube Kodu</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Hesap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Vade Tarihi</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Tutar (TL)</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Toplam Tutar (TL):</w:t>
      </w:r>
      <w:r w:rsidDel="00000000" w:rsidR="00000000" w:rsidRPr="00000000">
        <w:rPr>
          <w:color w:val="1f1f1f"/>
          <w:rtl w:val="0"/>
        </w:rPr>
        <w:t xml:space="preserve"> (Rakam ve yazı ile)</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Teslim Şekli:</w:t>
      </w:r>
      <w:r w:rsidDel="00000000" w:rsidR="00000000" w:rsidRPr="00000000">
        <w:rPr>
          <w:color w:val="1f1f1f"/>
          <w:rtl w:val="0"/>
        </w:rPr>
        <w:t xml:space="preserve"> (Elden teslim, kargo vb.)</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Teslim Yeri:</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Teslim Nedeni:</w:t>
      </w:r>
      <w:r w:rsidDel="00000000" w:rsidR="00000000" w:rsidRPr="00000000">
        <w:rPr>
          <w:color w:val="1f1f1f"/>
          <w:rtl w:val="0"/>
        </w:rPr>
        <w:t xml:space="preserve"> (Mal/hizmet bedeli, borç ödemesi vb.)</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Hususlar: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arasında kararlaştırılan diğer hususlar belirtilir. Örneğin, çekin ciro edilip edilmediği, temerrüt halinde uygulanacak faiz vb.)</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Tarafların Beyanları:</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Teslim Eden:</w:t>
      </w:r>
      <w:r w:rsidDel="00000000" w:rsidR="00000000" w:rsidRPr="00000000">
        <w:rPr>
          <w:color w:val="1f1f1f"/>
          <w:rtl w:val="0"/>
        </w:rPr>
        <w:t xml:space="preserve"> Yukarıda belirtilen çekleri, belirtilen tutarda ve belirtilen amaçla teslim ettiğini beyan eder.</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Teslim Alan:</w:t>
      </w:r>
      <w:r w:rsidDel="00000000" w:rsidR="00000000" w:rsidRPr="00000000">
        <w:rPr>
          <w:color w:val="1f1f1f"/>
          <w:rtl w:val="0"/>
        </w:rPr>
        <w:t xml:space="preserve"> Yukarıda belirtilen çekleri, belirtilen tutarda ve belirtilen amaçla teslim aldığını beyan eder.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 Eden:</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 Alan: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KARŞILIKSIZ ÇEK TUTANAĞI</w:t>
      </w:r>
      <w:r w:rsidDel="00000000" w:rsidR="00000000" w:rsidRPr="00000000">
        <w:rPr>
          <w:color w:val="1f1f1f"/>
          <w:rtl w:val="0"/>
        </w:rPr>
        <w:t xml:space="preserve"> (Örnek)</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No:</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Tarihi:</w:t>
      </w:r>
      <w:r w:rsidDel="00000000" w:rsidR="00000000" w:rsidRPr="00000000">
        <w:rPr>
          <w:color w:val="1f1f1f"/>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Çek Hamili:</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Çek Bilgileri:</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Çek No:</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Adı:</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Şube Kodu:</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Hesap No:</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Vade Tarihi:</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Tutar (TL):</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Karşılıksız Çıkma Nedeni:</w:t>
      </w:r>
      <w:r w:rsidDel="00000000" w:rsidR="00000000" w:rsidRPr="00000000">
        <w:rPr>
          <w:color w:val="1f1f1f"/>
          <w:rtl w:val="0"/>
        </w:rPr>
        <w:t xml:space="preserve"> (Banka tarafından belirtilen neden)</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Yapılan İşlemler:</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Çekin ibraz edildiği banka şubesi:</w:t>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Çekin ibraz edildiği tarih ve saat:</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görevlisinin adı soyadı:</w:t>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Çek hamili tarafından yapılacak işlemler: (Örneğin, çekin keşidecisine iade edilmesi, hukuki yollara başvurulması vb.)</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5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Çek Hamili:</w:t>
      </w:r>
    </w:p>
    <w:p w:rsidR="00000000" w:rsidDel="00000000" w:rsidP="00000000" w:rsidRDefault="00000000" w:rsidRPr="00000000" w14:paraId="0000005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Görevlisi:</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pict>
          <v:rect style="width:0.0pt;height:1.5pt" o:hr="t" o:hrstd="t" o:hralign="center" fillcolor="#A0A0A0" stroked="f"/>
        </w:pict>
      </w:r>
      <w:r w:rsidDel="00000000" w:rsidR="00000000" w:rsidRPr="00000000">
        <w:rPr>
          <w:color w:val="1f1f1f"/>
          <w:rtl w:val="0"/>
        </w:rPr>
        <w:t xml:space="preserve">Umarım bu örnekler size yardımcı olur. Detaylı bilgi için bir avukata danışmanız faydalı olacaktır.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