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İstinaf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[İstinaf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İstinaf Dilekçesi]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 Asliye/Ağır Ceza Mahkemesi'nin [tarih] tarihinde [esas numarası] numaralı esasla ve [karar numarası] numaralı kararıyla müvekkil [isim] hakkında verilen mahkumiyet kararının hukuka aykırılığı nedeniyle istinaf kanun yoluna başvurmaktayız.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Kararın Hukuka Aykırılığı: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Mahkeme, delilleri eksik ve hatalı değerlendirmiştir.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Mahkeme, sanık lehine olan delilleri göz ardı etmiştir.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Mahkeme, uyguladığı yasal hükümleri hatalı yorumlamıştır.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Mahkemece verilen ceza, failin kusuruna ve işlenen fiilin ağırlığına göre orantısızdır.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İstinaf Talebimiz: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[Mahkeme Adı] Asliye/Ağır Ceza Mahkemesi'nin [tarih] tarihinde [esas numarası] numaralı esasla ve [karar numarası] numaralı kararı ile müvekkil [isim] hakkında verilen mahkumiyet kararının bozulmasını ve beraatine karar verilmesini, aksi takdirde hükmün bozulup dosyanın yeniden incelenmek üzere ilk derece mahkemesine gönderilmesini talep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istinaf sebeplerinizi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İstinaf Dilekçe Örneği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