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Ceza Süre Tutum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[Ceza Dairesi]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[Esas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Ceza Süre Tutum Dilekçesi]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[Sanık/Sanık Vekili]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[Sanık]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esas numarası bulunan davada, müvekkilimiz [isim] hakkında [tarih] tarihinde verilen [karar numarası] numaralı karara karşı [istinaf/temyiz] yoluna başvurmaktayız.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Süre içerisinde gerekçeli [istinaf/temyiz] dilekçemizi sunmak üzere, yasal sürenin tutulmasını talep ederiz.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[Sanık/Sanık Vekili]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 ve süre tutum talebinizi açık ve net bir şekilde yazın.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mahkemenin internet sitesinden veya kaleminden edinebilirsiniz.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 Süre Tutum Dilekçesi Hakkında Daha Fazla Bilgi: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5271 Sayılı Ceza Muhakemeleri Kanunu'ndan daha fazla bilgi edinebilirsiniz.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Avukatınıza danışarak da bilgi alabilirsiniz.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Dava ve sanığın özel durumuna göre değişiklik gösterebilir. Bu nedenle, dilekçe hazırlamadan önce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