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DASK (Doğal Afet Sigortaları Kurumu) muvafakatnamesi, genellikle konut kredisi kullanılan ve ipotekli olan binalarda hasar meydana geldiğinde, sigorta tazminatının ödenebilmesi için bankanın onayını gösteren bir belgedir.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DASK Tazminat Ödemesi İçin Banka Muvafakatnamesi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Banka Bilgileri: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Banka Adı: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Şube Adı: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Şube Kodu: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Sigortalı Bilgileri: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Poliçe Numarası: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Taşınmaz Bilgileri: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Tapu Bilgileri: (Ada, Parsel, Pafta, vb.)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Beyanı: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Bankamız, yukarıda bilgileri belirtilen sigortalının, DASK poliçesi kapsamında meydana gelen hasar nedeniyle alacağı tazminatın, kendisine ödenmesine muvafakat eder.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Hususlar: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Tazminat ödemesi, bankamızın sigortalıya olan kredi borcunu aşmamak kaydıyla yapılacaktır.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Kredi borcunun tamamı ödendikten sonra kalan tazminat tutarı, sigortalıya ödenecektir.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sadece DASK tazminat ödemesi için geçerlidir ve diğer işlemler için kullanılamaz.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Banka Yetkilisi: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Soyadı: İmza: Kaşe: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 örneği genel bir formattır ve bankanızın istediği formattan farklı olabilir. Lütfen bankanızla iletişime geçerek doğru formatı temin ediniz.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Muvafakatnamede yer alan bilgilerin doğru ve eksiksiz olduğundan emin olunuz.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Muvafakatnamenin bankanız tarafından onaylanması ve kaşelenmesi gerekmektedir.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Uyarı:</w:t>
      </w:r>
      <w:r w:rsidDel="00000000" w:rsidR="00000000" w:rsidRPr="00000000">
        <w:rPr>
          <w:color w:val="1f1f1f"/>
          <w:rtl w:val="0"/>
        </w:rPr>
        <w:t xml:space="preserve"> Hukuki bir süreçte kullanılacak muvafakatname için bir avukata danışmanız tavsiye edilir.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Faydalı Kaynaklar: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DASK Resmi Web Sitesi: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https://www.dask.gov.tr/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DASK Hasar Ödeme Süreçlerine İlişkin Bilgilendirme: </w:t>
      </w: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https://dask.gov.tr/upload/basin_bultenleri/2023/HasarOdemeSurecler%C4%B1Bulten_300323.pdf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dask.gov.tr/" TargetMode="External"/><Relationship Id="rId7" Type="http://schemas.openxmlformats.org/officeDocument/2006/relationships/hyperlink" Target="https://dask.gov.tr/upload/basin_bultenleri/2023/HasarOdemeSurecler%C4%B1Bulten_3003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