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DAVADAN FERAGAT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DAVACI: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DAVALI: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DAVACI'nın, DAVALI aleyhine (Mahkeme Adı) nezdinde (Esas No) sayılı dosya ile açmış olduğu (Dava Konusu) davasından feragat etmesi ve tarafların bu feragate ilişkin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DAVADAN FERAGAT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DAVACI, (Mahkeme Adı) nezdinde (Esas No) sayılı dosya ile açmış olduğu (Dava Konusu) davasından, tüm hak ve talepleriyle birlikte, gayrikabili rücu olarak feragat ettiğini beyan ve kabul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DAVA MASRAFLARI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Davaya ilişkin yargılama giderleri ve vekalet ücretleri (Davacı/Davalı) tarafından karşılanacaktır.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İBRANAME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protokolün imzalanmasıyla birlikte, birbirlerini karşılıklı olarak her türlü dava, talep ve takip hakkından gayrikabili rücu olarak ibra etmişlerdir.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YÜRÜRLÜK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DAVALI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davadan feragat protokolüdür. Her dava kendine özgü olduğundan, protokolün içeriği tarafların anlaşmasına göre değişiklik gösterebilir.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Davadan feragat protokolü, tarafların ve varsa avukatlarının imzasını taşımalıdır.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Protokol, mahkeme tarafından onaylandıktan sonra ilam hükmünde olur ve tarafları bağlar.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