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Dosya Hesabı Talebi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[İcra Müdürlüğüne]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Dosya Hesabı Talebi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[Alacaklının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[Borçlunun Adı Soyadı] aleyhine [tarih] tarihinde açmış olduğum [esas numarası] numaralı icra dosyasında güncel dosya borcunun hesaplanarak dosya hesabının yapılmasını talep ediyorum.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[Alacaklının Adı Soyadı]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icra müdürlüğüne teslim edin.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icra dosya numarası, talep gibi bilgileri açık ve net bir şekilde yazın.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icra müdürlüğüne elden teslim edebilir veya posta yoluyla gönderebilirsiniz.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Dosya Hesabı Talebi Hakkında Daha Fazla Bilgi: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ve İflas Kanunu'nun 106. ve 107. maddelerine göre alacaklı, her zaman dosya borcunun hesaplanmasını talep edebilir.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Dosya hesabı, icra dosyasında kalan borcun ve alacaklıya ödenmesi gereken tutarın belirlenmesidir.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Dosya hesabı yapılırken, anapara, faiz, vekalet ücreti, tebligat masrafları gibi tüm kalemler göz önünde bulundurulur.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Dosya hesabı yapıldıktan sonra, alacaklı kalan borcu için icra takibi başlatabilir veya haciz işlemleri yapabilir.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bir uzmana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