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E-TİCARET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Elektronik Ticaret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İnternet üzerinden her türlü mal ve hizmetin alım satımını, pazarlamasını, ithalatını ve ihracatını yapmak.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Elektronik ticaret (e-ticaret) platformları oluşturmak, işletmek ve yönetmek.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Web sitesi tasarımı, yazılım geliştirme, mobil uygulama geliştirme, dijital pazarlama, sosyal medya yönetimi, içerik üretimi gibi e-ticaret ile ilgili hizmetler sunmak.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E-ticaret alanında danışmanlık, eğitim ve proje yönetimi hizmetleri vermek.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E-ticaret ile ilgili her türlü araştırma ve geliştirme faaliyetlerinde bulunmak.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E-ticaret alanında faaliyet gösteren diğer şirketlerle işbirliği yapmak, ortaklıklar kurmak veya bu şirketleri satın almak.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elektronik ödeme sistemi ve aracı kuruluş hizmetleri sunmak.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Lojistik, depolama ve dağıtım hizmetleri vermek.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hizmetleri ve çağrı merkezi hizmetleri sunmak.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e-ticaret anonim şirketi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