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Emekli maaşı muvafakatnamesi, genellikle emekli olan kişinin, emekli maaşının bir kısmının veya tamamının, belirli bir süre boyunca veya belirli bir amaca yönelik olarak başka bir kişiye veya kuruma ödenmesine izin verdiğini beyan ettiği bir belgedir. Bu tür muvafakatnameler, genellikle nafaka, kredi borcu ödemeleri veya diğer mali yükümlülüklerin yerine getirilmesi için kullanılır.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EMEKLİ MAAŞI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Emekli Bilgileri:</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Emekli Sandığı/Sosyal Güvenlik Kurumu Sicil No:</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Verilen Kişi/Kurum:</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Banka Bilgileri (Eğer ilgiliyse):</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Adı:</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Şube Adı:</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IBAN: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Kapsamı: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Emekli olarak, emekli maaşımın (miktar/yüzde) kısmının, (süre) boyunca veya (amaç) amacıyla, yukarıda bilgileri belirtilen kişiye/kuruma ödenmesine muvafakat ederim.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Emekli: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Verilen Kişi/Kurum:</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yer alan bilgilerin doğru ve eksiksiz olduğundan emin olunuz.</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Muvafakatnamenin noter tasdikli olması hukuki geçerliliği açısından önemlidir.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Emekli maaşı üzerinde haciz işlemi başlatılması durumunda, emekli maaşının haczedilmesine muvafakat verdiğinizi gösteren bir dilekçe de hazırlamanız gerekebilir. (Örnek dilekçe için: </w:t>
      </w:r>
      <w:hyperlink r:id="rId6">
        <w:r w:rsidDel="00000000" w:rsidR="00000000" w:rsidRPr="00000000">
          <w:rPr>
            <w:color w:val="0b57d0"/>
            <w:u w:val="single"/>
            <w:rtl w:val="0"/>
          </w:rPr>
          <w:t xml:space="preserve">https://avevrak.com/emekli-maasi-haczine-muvafakat-dilekcesi/</w:t>
        </w:r>
      </w:hyperlink>
      <w:r w:rsidDel="00000000" w:rsidR="00000000" w:rsidRPr="00000000">
        <w:rPr>
          <w:color w:val="1f1f1f"/>
          <w:rtl w:val="0"/>
        </w:rPr>
        <w:t xml:space="preserv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vevrak.com/emekli-maasi-haczine-muvafakat-dilekc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