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[İşçinin Adı Soyadı] [İşçinin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[İşverenin Unvanı] [İşverenin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Emeklilik Nedeniyle İş Akdinin Feshi ve Hakedişlerin Ödenmesi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[İşe Giriş Tarihi] tarihinden itibaren işyerinizde [Görevi] olarak çalışmaktayım.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[Tarih] itibarıyla [Prim Gün Sayısı] gün prim ödeme gün sayısını ve [Sigortalılık Süresi] yıllık sigortalılık süresini tamamlayarak emeklilik hakkını elde etmiş bulunmaktayım.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4857 sayılı İş Kanunu'nun 14. maddesi gereğince, emeklilik hakkımı kullanarak iş akdimi feshettiğimi bildiririm.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akdimin feshi ile birlikte, kanunen hak kazandığım kıdem tazminatı, kullanmadığım yıllık izin ücretleri, fazla mesai ücretleri ve diğer tüm yasal haklarımın eksiksiz olarak hesaplanarak [Ödeme Tarihi] tarihine kadar tarafıma ödenmesini talep ederim.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Hakedişlerimin belirtilen süre içerisinde ödenmemesi halinde, yasal yollara başvurmaktan çekinmeyeceğimi bildiririm.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[İşçinin Adı Soyadı] [İşçinin İmzası]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[SGK'dan Alınan Emeklilik Hakkı Belgesi]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emeklilik ihtarnamesi olup, hukuki danışmanlık yerine geçmez. İhtarname, kişisel durumunuza ve güncel mevzuata göre düzenlenmelidir.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