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ENGELLİ ARAÇ ALIM SATIM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Engellilik Durumu: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Engellilik Oranı: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Sağlık Kurulu Rapor Tarihi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Engelli Araç Alım Yetkisi: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engellilik durumuna uygun olarak ÖTV indirimli araç satın almak.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alımı için gerekli tüm başvuruları yapmak, belgeleri hazırlamak ve teslim etmek.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alımı ile ilgili her türlü ödemeyi yapmak ve aracı teslim almak.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alımı ile ilgili tüm resmi işlemleri yapmak (noter, trafik tescil vb.).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Engelli Araç Satış Yetkisi: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kayıtlı olan engelli aracını satmak, devir etmek ve teslim etmek.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satışı için gerekli tüm başvuruları yapmak, belgeleri hazırlamak ve teslim etmek.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satışı ile ilgili her türlü ödemeyi almak ve aracı teslim etmek.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satışı ile ilgili tüm resmi işlemleri yapmak (noter, trafik tescil vb.).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araç alım satımı ile ilgili her türlü resmi ve özel kurum ve kuruluşlarda muamelelerde bulunmak.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araç alım satımı ile ilgili her türlü belge ve evrakı almak, imzalamak ve teslim etmek.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araç alım satımı ile ilgili her türlü vergi, resim, harç ve diğer masrafları ödemek.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engellilik durumu, oranı ve sağlık kurulu rapor bilgileri eksiksiz olarak belirtilmelidir.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