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muvafakatnamesi, evin sahibi veya yetkili kişinin, başka birinin evde belirli bir süre kalmasına veya evi kullanmasına izin verdiğini belirten resmi bir belgedir. Bu belge, farklı amaçlarla kullanılabilir ve içeriği duruma göre değişiklik gösterebilir.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 Sahibi/Yetkili Kişi Bilgileri:</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Verilen Kişi Bilgileri:</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Ev Bilgileri:</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Daire No: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Belirli bir süre ikamet etme (Başlangıç Tarihi: , Bitiş Tarihi: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Adres beyanında bulunma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Evde tadilat yapma</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(Lütfen belirtiniz)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ev sahibi/yetkili kişi olarak, yukarıda bilgileri belirtilen kişiye, belirtilen evde (muvafakat konusu) hususunda muvafakat ettiğimi beyan ederim.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 Sahibi/Yetkili Kişi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Verilen Kişi 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tavsiye edilir.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 kiralık ise, kiracı da muvafakatnameyi imzalamalı ve kira kontratı da eklenmelidir.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belirtilen süre ve koşulların açıkça belirtilmesi önemlidir.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Ev Muvafakatnameleri:</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 Beyanı İçin Ev Sahibi Muvafakatnamesi:</w:t>
      </w:r>
      <w:r w:rsidDel="00000000" w:rsidR="00000000" w:rsidRPr="00000000">
        <w:rPr>
          <w:color w:val="1f1f1f"/>
          <w:rtl w:val="0"/>
        </w:rPr>
        <w:t xml:space="preserve"> </w:t>
      </w:r>
      <w:hyperlink r:id="rId6">
        <w:r w:rsidDel="00000000" w:rsidR="00000000" w:rsidRPr="00000000">
          <w:rPr>
            <w:color w:val="0b57d0"/>
            <w:u w:val="single"/>
            <w:rtl w:val="0"/>
          </w:rPr>
          <w:t xml:space="preserve">https://www.turkiye.gov.tr/nvi-adres-beyan-icin-muvafakat-verme</w:t>
        </w:r>
      </w:hyperlink>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Evsahibi Muvafakat Örnekleri:</w:t>
      </w:r>
      <w:r w:rsidDel="00000000" w:rsidR="00000000" w:rsidRPr="00000000">
        <w:rPr>
          <w:color w:val="1f1f1f"/>
          <w:rtl w:val="0"/>
        </w:rPr>
        <w:t xml:space="preserve"> </w:t>
      </w:r>
      <w:hyperlink r:id="rId7">
        <w:r w:rsidDel="00000000" w:rsidR="00000000" w:rsidRPr="00000000">
          <w:rPr>
            <w:color w:val="0b57d0"/>
            <w:u w:val="single"/>
            <w:rtl w:val="0"/>
          </w:rPr>
          <w:t xml:space="preserve">https://www.missafir.com/blog/wp-content/uploads/2024/01/Evsahibi-Muvafakat-Ornekleri.docx</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urkiye.gov.tr/nvi-adres-beyan-icin-muvafakat-verme" TargetMode="External"/><Relationship Id="rId7" Type="http://schemas.openxmlformats.org/officeDocument/2006/relationships/hyperlink" Target="https://www.missafir.com/blog/wp-content/uploads/2024/01/Evsahibi-Muvafakat-Ornekler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