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 (TAŞINMAZ) SATIŞ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taşınmaz (ev) ile ilgili olarak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Yüzölçümü: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vekil eden adına yukarıda belirtilen taşınmazı (evi) satmak, devir etmek ve teslim etmekle yetkilidir.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taşınmazın (evin) satış bedeli üzerinde anlaşmak, satış sözleşmesi imzalamak ve satış bedelini tahsil etmekle yetkilidir.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taşınmazın (evin) satışıyla ilgili olarak tapu dairesinde gerekli tüm işlemleri yapmak, tapu senedini almak ve teslim etmekle yetkilidir.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taşınmazın (evin) satışıyla ilgili olarak vergi dairesinde gerekli tüm işlemleri yapmak ve vergileri ödemek ile yetkilidir.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taşınmazın (evin) satışıyla ilgili olarak belediye ve diğer ilgili kurum ve kuruluşlarda gerekli tüm işlemleri yapmakla yetkilidir.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taşınmazın (evin) tanıtımını yapmak, potansiyel alıcılarla görüşmek, taşınmazı (evi) göstermek ve pazarlık yapmakla yetkilidir.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taşınmazın (evin) satışı tamamlanıncaya kadar geçerlidir.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(evin) adresi ve tapu bilgileri eksiksiz ve doğru olarak yazılmalıdır.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