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Evlilik Nedeniyle İş Sözleşmesinin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[İşe Giriş Tarihi]'nden itibaren işyerinizde [Görevi] olarak çalışmaktayım.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[Evlilik Tarihi] tarihinde evlenmiş bulunmaktayım.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4857 sayılı İş Kanunu'nun 14. maddesi gereğince, evlilik nedeniyle iş akdimi feshettiğimi bildiririm.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akdimin feshi ile birlikte, kanunen hak kazandığım kıdem tazminatı, kullanmadığım yıllık izin ücretleri, fazla mesai ücretleri ve diğer tüm yasal haklarımın eksiksiz olarak hesaplanarak [Ödeme Tarihi] tarihine kadar tarafıma ödenmesini talep ederim.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Hakedişlerimin belirtilen süre içerisinde ödenmemesi halinde, yasal yollara başvurmaktan çekinmeyeceğimi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Cüzdanı Fotokopisi]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evlilik nedeniyle iş akdinin feshi ihtarnamesi olup, hukuki danışmanlık yerine geçmez. İhtarname, kişisel durumunuza ve güncel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evlilik nedeniyle iş akdinin feshi durumunda, işçiye kıdem tazminatı ödenmesi gerekmektedir.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İşçinin, evlilik tarihinden itibaren bir yıl içinde bu hakkını kullanması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