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Fazla Mesai Ücretlerinin Ödenmemesi Nedeniyle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sözleşmemde belirtilen haftalık çalışma süresi [Haftalık Çalışma Süresi] saattir. Ancak, işveren tarafından sürekli olarak fazla mesai yaptırılmaktayım.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[Başlangıç Tarihi] - [Bitiş Tarihi] tarihleri arasında toplam [Fazla Mesai Süresi] saat fazla mesai yapmış bulunmaktayım.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41. maddesi gereğince, fazla çalışma karşılığı olarak [Fazla Mesai Ücreti] TL tutarında ücret alma hakkım bulunmaktadır. Ancak, bu ücretler tarafıma ödenmemiştir.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fazla mesai ücretimi ödeme yükümlülüğünü yerine getirmediği için, 4857 sayılı İş Kanunu'nun 24/II-e maddesi gereğince iş akdimi haklı nedenle feshettiğimi bildiririm.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[Fazla Mesai Çizelgesi/Kayıtları]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fazla mesai haklı fesih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ücretlerinin ödenmemesi, işçinin iş akdini haklı nedenle fesih hakkı veren önemli bir sebeptir.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fazla mesai ücretlerini talep etme ve iş akdini feshetme haklarını kullanırken bir avukata danışabilir.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