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Fazla Mesai Ücretlerinin Ödenmemesi Nedeniyle İş Akdinin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sözleşmemde belirtilen haftalık çalışma süresi [Haftalık Çalışma Süresi] saattir. Ancak, işveren tarafından sürekli olarak fazla mesai yaptırılmaktayım.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[Başlangıç Tarihi] - [Bitiş Tarihi] tarihleri arasında toplam [Fazla Mesai Süresi] saat fazla mesai yapmış bulunmaktayım.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41. maddesi gereğince, fazla çalışma karşılığı olarak [Fazla Mesai Ücreti] TL tutarında ücret alma hakkım bulunmaktadır. Ancak, bu ücretler tarafıma ödenmemiştir.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4857 sayılı İş Kanunu'nun 24/II-e maddesi gereğince, işçinin ücretinin kanun hükümleri veya sözleşme şartlarına uygun olarak hesaplanmaması ve ödenmemesi durumunda iş akdini haklı nedenle feshedebileceğini belirtmektedir.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işveren tarafından fazla mesai ücretimin ödenmemesi nedeniyle iş akdimi haklı nedenle feshettiğimi bildiririm.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ödenmeyen fazla mesai ücretleri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[Fazla Mesai Çizelgesi/Kayıtları] (varsa)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[Bordro Örneği]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fazla mesai haklı fesih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ücretlerinin ödenmemesi, işçinin iş akdini haklı nedenle fesih hakkı veren önemli bir sebeptir.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fazla mesai ücretlerini talep etme ve iş akdini feshetme haklarını kullanırken bir avukata danışabilir.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