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FERAGAT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FERAGAT EDEN: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FERAGAT EDİLEN: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FERAGAT EDEN'in, FERAGAT EDİLEN'e karşı sahip olduğu (Feragat edilen hak/alacak/dava konusu vb. açıklaması) hakkından/alacağından/dava konusundan tamamen ve gayrikabili rücu (geri dönülmez) olarak feragat etmesi ile ilgili tarafların hak ve yükümlülüklerini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FERAGAT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FERAGAT EDEN, FERAGAT EDİLEN'e karşı sahip olduğu (Feragat edilen hak/alacak/dava konusu vb. açıklaması) hakkından/alacağından/dava konusundan, fer'ileriyle birlikte, tamamen ve gayrikabili rücu olarak feragat ettiğini beyan ve kabul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KAPSAM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feragat, (Feragat edilen hak/alacak/dava konusu vb. açıklaması) ile ilgili olarak FERAGAT EDEN'in FERAGAT EDİLEN'e karşı sahip olduğu tüm hakları, alacakları, davaları ve talepleri kapsar.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İBRA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protokolün imzalanmasıyla birlikte birbirlerini, feragat konusu ile ilgili olarak her türlü dava, talep ve takip hakkından gayrikabili rücu olarak ibra etmişlerdir.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YÜRÜRLÜK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girecektir.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UYUŞMAZLIKLARIN ÇÖZÜMÜ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(Tarih)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FERAGAT EDEN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FERAGAT EDİLEN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feragat protokolüdür. Feragat edilen hak/alacak/dava konusuna göre protokolün içeriği değişiklik gösterebilir.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 protokolü, tarafların ve varsa avukatlarının imzasını taşımalıdır.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geçerli olabilmesi için noter tasdiki gerekebilir.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