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[İşgalcinin Adı Soyadı/Unvanı] [İşgalcinin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[Taşınmaz Sahibinin Adı Soyadı/Unvanı] [Taşınmaz Sahibinin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Haksız İşgalin Sona Erdirilmesi ve Taşınmazın Tahliyesi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[Taşınmazın Adresi] adresinde bulunan ve tapu kayıtlarına göre mülkiyeti tarafıma ait olan taşınmazı, herhangi bir hukuki sebep veya iznim olmaksızın işgal ettiğiniz tespit edilmiştir.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6098 sayılı Türk Borçlar Kanunu'nun 309. maddesi ve ilgili mevzuat hükümleri uyarınca, haksız işgal nedeniyle taşınmazın derhal tahliye edilmesi gerekmektedir.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taşınmazı [Tahliye İçin Verilen Süre (Örneğin: 7 gün)] gün içerisinde tahliye etmenizi talep ederim.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[Taşınmaz Sahibinin Adı Soyadı/Unvanı] [Taşınmaz Sahibinin İmzası (Gerekirse Kaşe)]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Tapu Senedi Fotokopisi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İşgali Kanıtlayan Belgeler (Fotoğraf, Video, Tanık Beyanı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fuzuli işgal ihtarnamesi olup, hukuki danışmanlık yerine geçmez. İhtarname, taşınmazın durumuna ve güncel mevzuata göre düzenlenmelidir.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Fuzuli işgal, taşınmaz malikinin rızası olmadan bir taşınmazın kullanılmasıdır ve hukuken suç teşkil eder.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belirtilen süre içinde taşınmaz tahliye edilmezse, taşınmaz sahibi tahliye davası açabilir.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