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GAYRİMENKUL ALIM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nitelikteki gayrimenkulü satın alma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Cinsi: (Konut, iş yeri, arsa, vb.)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Bulunduğu İl/İlçe: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(Biliniyorsa) Ada/Parsel: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(Biliniyorsa) Diğer Tapu Bilgileri: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VEKİLİN YETKİLERİ: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yukarıda belirtilen nitelikteki bir gayrimenkulü satın almak.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bedeli üzerinde anlaşmak, alım vaadi sözleşmesi ve satış sözleşmesi imzalamak ve alım bedelini ödemek.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alımıyla ilgili olarak tapu dairesinde gerekli tüm işlemleri yapmak, tapu senedini almak ve teslim etmek.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alımıyla ilgili olarak vergi dairesinde gerekli tüm işlemleri yapmak ve vergileri ödemek.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alımıyla ilgili olarak belediye ve diğer ilgili kurum ve kuruluşlarda gerekli tüm işlemleri yapmak.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alımı ile ilgili olarak tapu harcı ödeme, tapu kaydını yaptırma, ipotek tesis etme, ipotek fek etme, takyidatları terkin etme ve benzeri işlemleri yapmak.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görülmesi halinde, bu vekaletname ile başkalarını da vekil tayin etmek.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gayrimenkulün alımı tamamlanıncaya kadar geçerlidir.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Gayrimenkulün cinsi, bulunduğu yer ve tapu bilgileri (biliniyorsa) açık ve net bir şekilde belirtilmelidir.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