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SATICI'ya ait aşağıda özellikleri belirtilen gayrimenkulün ALICI'ya satışı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GAYRİMENKULÜN TANIMI VE ÖZELLİKLERİ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(Konut/İşyeri/Arsa/Tarla)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Alanı: (Net/Brüt m²)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 (Konut için)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Bina Yaşı: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(Deniz manzaralı, otoparklı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SATIŞ BEDELİ VE 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satış bedeli: (Yazı ile) (TL)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 (Taksit sayısı ve tutarları belirtilecek)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Gayrimenkul, (tarih) tarihinde, anahtar teslimi şeklinde ALICI'ya teslim edilecektir.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anında gayrimenkulün tüm resmi evrakları (tapu, iskan vb.) ve varsa DASK poliçesi ALICI'ya verilecektir.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VERGİ VE HARÇLAR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satışına ilişkin tüm vergi ve harçlar (tapu harcı vb.) ALICI tarafından ödenecektir.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CAYMA HAKKI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imzalandıktan sonra (Cayma Süresi) gün içerisinde herhangi bir gerekçe göstermeksizin cayma hakkına sahiptir.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hakkının kullanılması halinde, cayma bildirimini yapan taraf, karşı tarafa (Cayma Bedeli) TL ödemekle yükümlüdür.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FESİH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 karşılıklı olarak veya haklı bir sebeple feshedebilirler.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fesih sebepleri şunlardır: (Örneğin, gayrimenkulün teslim edilmemesi, ödemenin yapılmaması, tapuda haciz veya ipotek bulunması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her türlü uyuşmazlık (il/ilçe) Mahkemeleri ve İcra Daireleri'nde çözümlenecektir.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gayrimenkul satış protokolüdür. Tarafların ihtiyaçlarına ve özel durumlarına göre protokolde değişiklikler yapılabilir.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işlemlerinin usulüne uygun olarak yapılabilmesi için bir tapu dairesine başvurulması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