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Geçit Hakkı Dava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[Mahkemeye]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 [Adresiniz]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Avukatı:</w:t>
      </w:r>
      <w:r w:rsidDel="00000000" w:rsidR="00000000" w:rsidRPr="00000000">
        <w:rPr>
          <w:color w:val="1f1f1f"/>
          <w:rtl w:val="0"/>
        </w:rPr>
        <w:t xml:space="preserve"> [Avukatınızın Adı Soyadı (varsa)]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[Geçit hakkı talep ettiğiniz komşunun adı/soyadı]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[Komşunuzun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Geçit Hakkı Tesisi Davası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[Mahkemeye]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Dilekçesi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 [Adınız Soyadınız], [tapu bilgisi] adresinde bulunan taşınmazın malikidir.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 [komşunuzun adı/soyadı], [tapu bilgisi] adresinde bulunan taşınmazın malikidir.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Davacının taşınmazı, davalının taşınmazı ile [geçişin engellendiğini gösteren açıklama] arasında kalmaktadır.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Davacının taşınmazına [geçişin gerekliliğini gösteren açıklama] yoluyla erişim mümkündür.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Davalı, davacının taşınmazına geçişini engellemektedir.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Bu durum, davacının taşınmazını kullanma hakkını ihlal etmektedir.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Davacı, davalının taşınmazı üzerinde [geçiş güzergahı ve genişliği] şeklinde bir geçit hakkı tesisini talep etmektedir.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NEDENLER: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4721 Sayılı Türk Medeni Kanunu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HÜKÜM VE TALEP: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Sayın Mahkemenizden;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Davalının taşınmazı üzerinde [geçiş güzergahı ve genişliği] şeklinde bir geçit hakkının tesisine,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Yargılama giderlerinin davalıya yükletilmesine,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 ve İmzası (varsa)]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belgeleri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krokisi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Geçişin engellendiğine dair deliller (fotoğraflar, videolar, tanık beyanları vb.)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taşınmazlarınızın tapu bilgilerini, davalının kimlik bilgilerini, geçişin engellendiğini gösteren açıklamaları, geçişin gerekliliğini gösteren açıklamaları, taleplerinizi açık ve net bir şekilde yazın.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Geçit Hakkı Davası Hakkında Daha Fazla Bilgi: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Geçit hakkı, bir taşınmazın malikinin, komşu taşınmaz üzerinden kendi taşınmazına erişim için gerekli olan bir hakka sahip olmasıdır.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Geçit hakkı, 4721 Sayılı Türk Medeni Kanunu'nda düzenlenmiştir.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Geçit hakkı davası, Asliye Hukuk Mahkemelerinde görülür.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Geçit hakkı davası dilekçenizle ilgili.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Geçit Hakkı Davası Dilekçesi ile İlgili Dikkat Edilmesi Gereken Hususlar: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Geçit hakkı davası dilekçesi ile ilgili daha fazla bilgi için bir avukata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