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Hak sahibi muvafakatnamesi, bir hak sahibinin, sahip olduğu hakkın bir başkası tarafından kullanılmasına veya devredilmesine izin verdiğini belirten resmi bir belgedir. Bu hak, taşınmaz mülkiyet hakkı, fikri mülkiyet hakkı, miras hakkı gibi çeşitli haklar olabilir.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HAK SAHİBİ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Hak Sahibi:</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Verilen Kişi/Kurum:</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(Örneğin: Taşınmazın satışı, kiralanması, ipotek edilmesi, fikri mülkiyet hakkının devri, miras hakkından feragat, vb.)</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Hakkı Konusu Mal/Hak:</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(Örneğin: Taşınmazın adresi, tapu bilgileri, fikri mülkiyetin adı, mirasın içeriği, vb.)</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hak sahibi olarak, yukarıda bilgileri verilen kişiye/kuruma, belirtilen hak üzerinde (muvafakat konusu) hususunda muvafakat ettiğimi beyan ederim.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Hak Sahibi 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Verilen Kişi/Kurum 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Muvafakatnamenin noter tasdikli olması tavsiye edilir.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hakkın devri veya kullanımı ile ilgili özel şartlar belirtilebilir.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Hak Sahibi Muvafakatnameleri:</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Tapu ve Kadastro Genel Müdürlüğü Muvafakatname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https://www.tkgm.gov.tr/sites/default/files/2020-11/ek-2.pdf</w:t>
        </w:r>
      </w:hyperlink>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2B Muvafakat İşlemi Hak Sahipliği Belgesi Aranmadan Yapılabilir:</w:t>
      </w:r>
      <w:r w:rsidDel="00000000" w:rsidR="00000000" w:rsidRPr="00000000">
        <w:rPr>
          <w:color w:val="1f1f1f"/>
          <w:rtl w:val="0"/>
        </w:rPr>
        <w:t xml:space="preserve"> </w:t>
      </w:r>
      <w:hyperlink r:id="rId7">
        <w:r w:rsidDel="00000000" w:rsidR="00000000" w:rsidRPr="00000000">
          <w:rPr>
            <w:color w:val="0b57d0"/>
            <w:u w:val="single"/>
            <w:rtl w:val="0"/>
          </w:rPr>
          <w:t xml:space="preserve">https://www.noterlikrehberi.net/rehber/muvafakat-2b-muvafakat-islemi-hak-sahipligi-belgesi-aranmaz.html</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kgm.gov.tr/sites/default/files/2020-11/ek-2.pdf" TargetMode="External"/><Relationship Id="rId7" Type="http://schemas.openxmlformats.org/officeDocument/2006/relationships/hyperlink" Target="https://www.noterlikrehberi.net/rehber/muvafakat-2b-muvafakat-islemi-hak-sahipligi-belgesi-aranma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