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HAKSIZ İŞGAL NEDENİYLE TAHLİYE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[İşgalcinin Adı Soyadı veya Şirket Ünvanı] [İşgalcinin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Haksız İşgalin Sonlandırılması ve Taşınmazın Tahliyesi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[İşgalcinin Adı Soyadı veya Şirket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Tapuda kayıtlı [Taşınmazın Adresi] adresinde bulunan ve [Tapu Bilgileri (ada, parsel, pafta vb.)] ile belirtilen taşınmazın mülkiyeti tarafıma/şirketimize aittir. Ancak, taşınmazı herhangi bir hukuki sebep veya iznim olmaksızın işgal ettiğiniz tespit 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Taşınmazı derhal tahliye etmenizi ve işgali sonlandırmanızı,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başvurarak hakkımızı arayacağımızı ve doğacak tüm masrafların tarafınızdan karşılanacağını ihtar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Taşınmazı tahliye etmek için size [X gün/hafta] süre tanınmıştır. Bu süre zarfında gerekli adımları atmamanız halinde, hukuki süreç başlatılacaktır.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 veya Şirket Ünvanı]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senedi veya tapu kayıt örneği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fotoğrafları (varsa)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deliller (kira sözleşmesi, tanık beyanları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göre değişebilir.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 olmayabilir.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işgal nedeniyle tahliye davası açabilirsiniz.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davası ile birlikte ecrimisil (haksız işgal tazminatı) talebinde de bulunabilirsiniz.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