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ARSA İNŞAAT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hissesine karşılık gelen kısma, aşağıda belirtilen niteliklerde bir inşaat yapmasına muvafakat veriyorum/veriyoruz.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Bilgileri: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Tipi: (Konut, iş yeri, fabrika vb.)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Alanı (m²):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Özellikler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ve diğer gerekli izinler, [Muvafakat Alan Hissedar Adı Soyadı/Unvanı] tarafından alınacaktır.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maliyeti ve diğer masraflar, [Muvafakat Alan Hissedar Adı Soyadı/Unvanı] tarafından karşılanacaktır.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sırasında doğabilecek herhangi bir hasar veya zarardan, [Muvafakat Alan Hissedar Adı Soyadı/Unvanı] sorumlu olacaktır.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arsaya inşaat yapmak için tüm hissedarların muvafakatı gereklidir.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inşa edilecek yapının özellikleri ve inşaat şartları açıkça belirtilmelidir.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