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ASLİYE HUKUK MAHKEMESİNE</w:t>
      </w:r>
    </w:p>
    <w:p/>
    <w:p>
      <w:pPr>
        <w:jc w:val="center"/>
      </w:pPr>
      <w:r>
        <w:rPr>
          <w:sz w:val="22"/>
        </w:rPr>
        <w:t>Konu: İftira nedeniyle manevi tazminat davası talebi</w:t>
      </w:r>
    </w:p>
    <w:p/>
    <w:p>
      <w:pPr>
        <w:jc w:val="left"/>
      </w:pPr>
      <w:r>
        <w:rPr>
          <w:sz w:val="22"/>
        </w:rPr>
        <w:t>Olay: Davalı, [..../..../20....] tarihinde ve öncesinde, gerçeğe aykırı şekilde şahsımı suçlayıcı/itham edici beyan ve şikâyetlerde bulunmuş; bu beyanlar [sosyal medya/paylaşım/mesaj/şikâyet dilekçesi vb.] yoluyla üçüncü kişilere ulaşmıştır. İddialar asılsız olup, tarafım hakkında [soruşturma/kovuşturma] yapılmış ise de [takipsizlik/beraat] kararı verilmiştir.</w:t>
      </w:r>
    </w:p>
    <w:p/>
    <w:p>
      <w:pPr>
        <w:jc w:val="left"/>
      </w:pPr>
      <w:r>
        <w:rPr>
          <w:sz w:val="22"/>
        </w:rPr>
        <w:t>Zarar: Davalının iftira niteliğindeki beyanları onur, şeref ve saygınlığımı zedelemiş; sosyal ve mesleki çevremde itibar kaybına, manevi elem ve üzüntüye sebebiyet vermiştir. Olayın etkileri ve süreci gösteren belgeler ile tanık beyanları mevcuttur.</w:t>
      </w:r>
    </w:p>
    <w:p/>
    <w:p>
      <w:pPr>
        <w:jc w:val="left"/>
      </w:pPr>
      <w:r>
        <w:rPr>
          <w:sz w:val="22"/>
        </w:rPr>
        <w:t>Hukuki nedenler: Türk Medeni Kanunu m.24‑25 (kişilik haklarının korunması), Türk Borçlar Kanunu m.58 (manevi tazminat), ilgili mevzuat ve yerleşik içtihatlar.</w:t>
      </w:r>
    </w:p>
    <w:p/>
    <w:p>
      <w:pPr>
        <w:jc w:val="left"/>
      </w:pPr>
      <w:r>
        <w:rPr>
          <w:sz w:val="22"/>
        </w:rPr>
        <w:t>Talep: Açıklanan nedenlerle; kişilik haklarıma yönelik hukuka aykırı saldırı nedeniyle **[........ TL] manevi tazminatın** olay tarihinden itibaren işleyecek yasal faiziyle birlikte davalıdan tahsiline; yargılama giderleri ve vekâlet ücretinin davalı üzerine bırakılmasına; ayrıca saldırının sonuçlarının kaldırılması kapsamında uygun görülürse hükmün ilanına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Davalı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Takipsizlik/beraat kararı veya süreç evrakları (varsa)</w:t>
      </w:r>
    </w:p>
    <w:p>
      <w:pPr>
        <w:jc w:val="left"/>
      </w:pPr>
      <w:r>
        <w:rPr>
          <w:sz w:val="22"/>
        </w:rPr>
        <w:t>2) İftira niteliğindeki beyan/şikâyet/paylaşım çıktıları</w:t>
      </w:r>
    </w:p>
    <w:p>
      <w:pPr>
        <w:jc w:val="left"/>
      </w:pPr>
      <w:r>
        <w:rPr>
          <w:sz w:val="22"/>
        </w:rPr>
        <w:t>3) Tanık isim ve adres listesi (varsa)</w:t>
      </w:r>
    </w:p>
    <w:p>
      <w:pPr>
        <w:jc w:val="left"/>
      </w:pPr>
      <w:r>
        <w:rPr>
          <w:sz w:val="22"/>
        </w:rPr>
        <w:t>4) (Varsa) Düzeltme ve cevap hakkına ilişkin yazışmalar</w:t>
      </w:r>
    </w:p>
    <w:p>
      <w:pPr>
        <w:jc w:val="left"/>
      </w:pPr>
      <w:r>
        <w:rPr>
          <w:sz w:val="22"/>
        </w:rPr>
        <w:t>5) Kimlik fotokopisi ve tebligata elverişli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