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[Muhatabın Adı Soyadı veya Şirket Ünvanı] [Muhatabın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[Muhatabın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 konusu detaylı olarak açıklanır. Örneğin, borcun ödenmemesi, sözleşmeye aykırı davranış, haksız rekabet, telif hakkı ihlali vb.]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[Talepleriniz detaylı olarak sıralanır. Örneğin, borcun ödenmesi, sözleşmeye uygun davranılması, haksız rekabetin durdurulması, telif hakkı ihlaline son verilmesi vb.]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[Süre verilir.] (Örneğin, 7 gün içinde, 15 gün içinde vb.)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 hakkımızın saklı olduğunu bildiririz.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(sözleşme, fatura, fotoğraf, video vb.)]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genel bir şablondur. İhtarname içeriği, olayın özel durumuna ve hukuki gerekçelere göre değişebilir.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İhtarname, hukuki bir sürecin başlangıcı olabilir. Bu nedenle, ihtarnameyi dikkatli bir şekilde hazırlamanız ve hukuki danışmanlık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