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[Muhatabın Adı Soyadı veya Şirket Ünvanı] [Muhatabın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[Muhatabın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 detaylı olarak açıklanır. Örneğin, borcun ödenmemesi, sözleşmeye aykırı davranış, haksız rekabet, telif hakkı ihlali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[Talepleriniz detaylı olarak sıralanır. Örneğin, borcun ödenmesi, sözleşmeye uygun davranılması, haksız rekabetin durdurulması, telif hakkı ihlaline son verilmesi vb.]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[Süre verilir.] (Örneğin, 7 gün içinde, 15 gün içinde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 hakkımızın saklı olduğunu bildiririz.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(sözleşme, fatura, fotoğraf, video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genel bir örnektir. İhtarname içeriği, olayın özel durumuna ve hukuki gerekçelere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İhtarname, hukuki bir sürecin başlangıcı olabilir. Bu nedenle, ihtarnameyi dikkatli bir şekilde hazırlamanız ve hukuki danışmanlık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