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İHTİYAÇ NEDENİYLE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İhtiyaç Nedeniyle Kira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15.06.2024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sözleşmemiz, 6098 sayılı Türk Borçlar Kanunu'nun 352. maddesi uyarınca tarafımca ihtiyaç nedeniyle feshedilmiştir.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Konut, [İhtiyaç Nedeni (örneğin: ev sahibi veya birinci derece kan hısımlarından birinin konutta oturacağı, konutun yeniden inşa veya imar edileceği vb.)] nedeniyle tahliye edilecektir.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kira sözleşmesinin [Sözleşmede Belirtilen Fesih Süresi] madde/bendinde belirtilen bildirim süresi olan [Bildirim Süresi] sonunda, yani [Tahliye Tarihi] tarihinde konutu tahliye etmenizi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 arayacağımı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[İhtiyaç nedenini kanıtlayan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İhtiyaç nedeniyle fesih bildirimi, kiracının kira süresinin bitiminden en az [Bildirim Süresi] önce yazılı olarak yapılmalıdır.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fesih bildirimine itiraz etmek isterse, fesih bildiriminin kendisine tebliğ edildiği tarihten itibaren 1 ay içinde sulh hukuk mahkemesine başvurabilir.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