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İMAR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Alanı (m²):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Adı Soyadı/Unvanı]'nın, yukarıda bilgileri belirtilen taşınmaz ile ilgili olarak aşağıdaki imar işlemlerini yapmasına muvafakat veriyorum/veriyoruz.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[Yapılacak İşlem(ler) (Örn: İmar planı değişikliği, imar barışı başvurusu, yapı ruhsatı başvurusu vb.)]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(Gerekli değilse boş bırakılabilir)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İmar muvafakatnamesi, taşınmazla ilgili imar işlemlerinde ilgili tüm tarafların rızasını göstermek amacıyla kullanılır.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yapılacak işlemler açıkça belirtilmelidir.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İmar mevzuatı karmaşık bir konu olduğundan, muvafakatname hazırlanırken bir uzmandan yardım alınması faydalı olabilir.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İmar Barışı Özel Durumu:</w:t>
      </w:r>
      <w:r w:rsidDel="00000000" w:rsidR="00000000" w:rsidRPr="00000000">
        <w:rPr>
          <w:color w:val="1f1f1f"/>
          <w:rtl w:val="0"/>
        </w:rPr>
        <w:t xml:space="preserve"> İmar barışı başvurusu için muvafakatname örneği farklılık gösterebilir. Bu durumda, Çevre ve Şehircilik Bakanlığı tarafından yayınlanan örnek muvafakatnameler kullanılabilir. İmar barışı muvafakatnameleri genellikle tapu sahibi veya hissedarların tamamının imzasını gerektirir.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