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İnşaat Taşeron Sözleşmesi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ASIL İŞVEREN (MÜTEAHHİT):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TAŞERON: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ASIL İŞVEREN'in _________________________________ adresinde bulunan ___________________________ (inşaat projesi adı) projesi kapsamında yapılacak olan _________________________________ (işin tanımı) işlerinin TAŞERON tarafından gerçekleştirilmesine ilişkin şartları belirlemektir.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KAPSAMI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Yapılacak işin tanımı ve detayları: (İşin türü, miktarı, özellikleri, kullanılacak malzemeler, vb.)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başlangıç ve bitiş tarihleri: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yapılacağı yer: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teslim şekli ve yeri: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 BEDELİ VE ÖDEME KOŞULLARI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bedeli: (Toplam bedel ve varsa birim fiyatlar)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 (Ödemelerin ne zaman ve hangi aşamalarda yapılacağı, hakediş düzenleme ve onay süreci)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(Ödemelerin gecikmesi durumunda uygulanacak faiz oranı)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ASIL İŞVEREN'İN HAK VE YÜKÜMLÜLÜKLERİ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Taşeron'a işin yapılmasına imkan sağlamak.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Taşeron'a gerekli bilgi ve belgeleri zamanında vermek.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Taşeronun işini denetlemek ve gerektiğinde talimat vermek.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Ödemeleri sözleşme koşullarına uygun olarak yapmak.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İşin gereği gibi yapılmaması halinde sözleşmeyi feshetme hakkını kullanmak.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TAŞERON'UN HAK VE YÜKÜMLÜLÜKLERİ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sözleşme ve eklerinde belirtilen şartlara, ilgili mevzuata ve teknik şartnamelere uygun olarak yapmak.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zamanında ve eksiksiz olarak teslim etmek.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İşyerinde iş sağlığı ve güvenliği tedbirlerini almak.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Asıl İşveren'in talimatlarına uymak.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İşi gereği gibi yapmaması halinde Asıl İşveren'in tazminat talep etme hakkına riayet etmek.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İşçilerin sigorta ve diğer yasal haklarını korumak.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CEZAİ ŞARTLAR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Taşeron'un işi zamanında bitirmemesi halinde, her gecikilen gün için sözleşme bedelinin _____'i oranında cezai şart uygulanır.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Asıl İşveren'in ödemeleri zamanında yapmaması halinde, her gecikilen gün için ödenmeyen miktarın _____'i oranında gecikme faizi uygulanır.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MÜCBİR SEBEPLER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Doğal afetler, savaş, grev, lokavt gibi mücbir sebeplerden dolayı işin yapılması veya tamamlanması imkansız hale gelirse, taraflar bu durumu birbirlerine yazılı olarak bildirmekle yükümlüdürler.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UYUŞMAZLIKLARIN ÇÖZÜMÜ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uygulanmasından doğacak her türlü uyuşmazlıkta, öncelikle taraflar arasında sulh yoluyla çözüm aranacaktır. Sulh yoluyla çözüm sağlanamazsa, _______________ Mahkemeleri ve İcra Daireleri yetkilidir.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ASIL 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TAŞERON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Teknik Şartname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Programı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Keşif Özeti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diğer belgeler)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inşaat taşeron sözleşmesi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