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İntifa hakkı vekaletnamesi, bir taşınmaz malikin, taşınmaz üzerindeki intifa hakkını (kullanma hakkını) başkasına devretmek veya bu hak üzerinde başka işlemler yapmak için birini yetkilendirdiği resmi bir belgedir. Bu vekaletname genellikle noter huzurunda düzenlenir ve tarafların kimlik bilgileri, yetkilendirme detayları, tapu bilgileri ve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İntifa Hakkı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(İl/İlçe) Tapu Müdürlüğü'nde kayıtlı (Pafta, Ada, Parsel) numaralı taşınmaz üzerindeki intifa hakkını (belirtilen süreyle veya ömür boyu) (İntifa Hakkı Sahibi Olacak Kişi) adına tesis etmek veya mevcut intifa hakkını devretmek.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dairesine başvuruda bulunmak, gerekli belgeleri imzalamak ve teslim almak.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İntifa hakkı tesisi veya devri ile ilgili her türlü yazışmayı yapmak ve işlemleri takip etmek.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diğer tüm işlemleri yapmak.</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bilgileri (il/ilçe, pafta, ada, parsel) ve intifa hakkı sahibi olacak kişinin bilgileri açıkça belirtilmelidir.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(intifa hakkı tesisi, devri, terkini vb.) detaylı bir şekilde belirtilmelidir.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İntifa Hakkı Vekaletnamesi Kaynakları:</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https://www.noterlikrehberi.net/rehber/intifa-hakki-tesis-vekaletnamesi-tasinmaz.html</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rehber/intifa-hakki-tesis-vekaletnamesi-tasinmaz.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