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 tarafından verilen _________________________________ görevlerini yerine getirecektir.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yeri: 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sürelidir. (Belirli veya belirsiz)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net/brüt ___________________ TL ücret ödenecektir.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ödenecektir.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Haftalık çalışma süresi: ___________________ saattir.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çalışma süresi: ___________________ saattir.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ücreti: (Fazla çalışma yapılması durumunda ödenecek ücret)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hakkı: ___________________ gündür.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izinler: (Mazeret izni, hastalık izni,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sözleşmesinin fesih koşulları: (İş Kanunu hükümleri)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işverenin ticari sırlarını ve gizli bilgilerini açıklamamayı taahhüt eder.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 Mahkemeleri ve İcra Daireleri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