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/ Ünvanı: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 / Vergi Numarası: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Yüklenicinin, İşverenin talebi üzerine, İşveren'e ait [Proje Adı] projesi kapsamında bulunan [Adres] adresindeki [İşin Tanımı] işlerini, ekte yer alan keşif, şartname ve teknik çizimler doğrultusunda yapmayı, İşverenin ise bu işler karşılığında kararlaştırılan bedeli Yükleniciye ödemeyi taahhüt etmesini kapsar.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 aşağıdaki işleri yapmayı taahhüt eder: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[İşin Detaylı Açıklaması]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Özellikleri]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taahhütname kapsamındaki işleri, keşif, şartname ve teknik çizimlere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 tarafından sağlanan malzemeleri özenle kullanır ve iş bitiminde artan malzemeleri işverene teslim eder.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işverenin yazılı onayı olmadan işi kısmen veya tamamen başkasına devredemez.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tamamlanmasından sonra gerekli kontrolleri yaparak, işin eksiksiz ve hatasız olduğunu garanti eder.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işyerini zamanında teslim eder ve işin yapılması için gerekli kolaylığı sağlar.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işin yapılması için gerekli malzemeleri temin eder veya bedelini öder.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ilerleme durumunu denetler ve yükleniciye gerekli talimatları verir.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tamamlanması ve kabulünden sonra yükleniciye sözleşme bedelini öder.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taahhütnameyi [Fesih Şartları]’na uygun olarak feshedebilirler.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Çizimler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taahhütnamesidir.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