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İŞTİRAK NAFAKASI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(Anne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(Baba Adı Soyadı):</w:t>
      </w:r>
      <w:r w:rsidDel="00000000" w:rsidR="00000000" w:rsidRPr="00000000">
        <w:rPr>
          <w:color w:val="1f1f1f"/>
          <w:rtl w:val="0"/>
        </w:rPr>
        <w:t xml:space="preserve"> (T.C. Kimlik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tarafların ortak çocuğu/çocukları olan (Çocuk/Çocukların Adı ve Soyadı)'nın/nın iştirak nafakasına ilişkin hak ve yükümlülüklerini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İŞTİRAK NAFAKASI MİKTARI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(Baba/Anne), (Çocuk/Çocukların Adı)'na/na aylık (Miktar) TL iştirak nafakası ödeyecektir.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miktarı, her yıl Türkiye İstatistik Kurumu (TÜİK) tarafından açıklanan ÜFE oranında artırılacaktır.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ÖDEME ŞEKLİ VE ZAMANI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Nafaka, her ayın (Gün) günü, (Ödeme Yöntemi) (Örneğin: banka havalesi, EFT, elden teslim) ile ödenecektir.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(İlk ödeme tarihi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EK GİDERLER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Çocuğun/çocukların eğitim, sağlık, dershane, özel kurs, spor, tatil gibi olağanüstü giderleri taraflarca (Ortaklaşa/Belirli Oranlarda) karşılanacaktır.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DİĞER HÜKÜMLER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alacaklısı, nafaka miktarının yetersiz kaldığına dair mahkemeye başvurma hakkını saklı tutar.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borçlusu, çocuğun 18 yaşını doldurması veya eğitiminin tamamlanması durumunda nafaka ödeme yükümlülüğünün sona ereceğini kabul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Aile Mahkemeleri'nde çözümlenecektir.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(Anne Adı Soyadı ve 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(Baba Adı Soyadı ve 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iştirak nafakası protokolüdür. Tarafların ihtiyaçlarına ve özel durumlarına göre protokolde değişiklikler yapılabilir.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protokolün noter onaylı olması, icra edilebilirlik açısından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