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ARTIŞI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Bedelinin Artırılması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Başlangıç Tarihi] tarihinde imzalanan ve [Kiralanan Konutun Adresi] adresindeki konutu kapsayan kira sözleşmemiz gereğince, kira bedeli her yıl [Kira Artış Yüzdesi] oranında artırılabilecektir.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doğrultuda, [Yeni Kira Dönemi Başlangıç Tarihi] tarihinden itibaren geçerli olmak üzere aylık kira bedeli [Eski Kira Bedeli] TL'den [Yeni Kira Bedeli] TL'ye yükseltilmiştir.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kira bedeli, [Ödeme Şekli (örneğin: banka hesabına havale, elden ödeme vb.)] ile [Ödeme Tarihi] tarihine kadar ödenmelidir.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sunar, iyi günler dilerim.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İmzası] [Ev Sahibinin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örneği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diğer belgeler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sözleşmesinin özel şartlarına ve yasal düzenlemelere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 oranı, TÜFE 12 aylık ortalamasını geçemez. (7 Temmuz 2023 - 1 Temmuz 2024 tarihleri arasında geçerli olan özel düzenleme hariç)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artışına itiraz etmek isterse, kiracı veya ev sahibinin sulh hukuk mahkemesine başvurarak kira tespit davası açma hakkı vardır.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 olmayabilir.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