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UYARLANMASI TALEBİNE İLİŞKİN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Uyarlanması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halen yürürlüktedir.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kira sözleşmesinin imzalandığı tarihten bu yana ülkemizde yaşanan ekonomik gelişmeler, özellikle de enflasyon oranındaki artışlar nedeniyle kira bedelinin güncel ekonomik koşullara uygun olmadığı kanaatindeyim.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344. maddesi ve devamı maddeleri uyarınca, kira bedelinin uyarlanması için tarafınıza bu ihtarnameyi gönderiyorum.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Kira Dönemi Başlangıç Tarihi] tarihinden itibaren geçerli olmak üzere aylık kira bedelinin [Talep Edilen Yeni Kira Bedeli] TL olarak uyarlanmasını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talebimi kabul etmeniz halinde, yeni kira bedeli [Ödeme Şekli (örneğin: banka hesabına havale, elden ödeme vb.)] ile [Ödeme Tarihi] tarihine kadar ödenmelidir.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Sulh Hukuk Mahkemesi'ne başvuracağımı ve kira bedelinin uyarlanması davası açacağımı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[Ekonomik gelişmeleri gösteren belgeler (enflasyon verileri, emsal kira bedelleri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uyarlama davası açmadan önce kiracıya ihtarname göndermek zorunlu değildir, ancak yasal süreçte avantaj sağlayabilir.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yeni kira bedeli, mahkeme tarafından belirlenecek kira bedelinden farklı olabilir.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süre içinde kiracı yeni kira bedelini ödemeyi kabul ederse, dava açmaya gerek kalmaz.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(güvenli elektronik imza ile):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güçlüdür.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